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10" w:line="100" w:lineRule="exact"/>
        <w:rPr>
          <w:sz w:val="24"/>
          <w:szCs w:val="24"/>
        </w:rPr>
      </w:pPr>
    </w:p>
    <w:p>
      <w:pPr>
        <w:pStyle w:val="Body"/>
        <w:ind w:left="100" w:firstLine="0"/>
        <w:rPr>
          <w:sz w:val="24"/>
          <w:szCs w:val="24"/>
        </w:rPr>
      </w:pPr>
      <w:r>
        <w:rPr>
          <w:sz w:val="24"/>
          <w:szCs w:val="24"/>
        </w:rPr>
        <w:drawing>
          <wp:inline distT="0" distB="0" distL="0" distR="0">
            <wp:extent cx="1150620" cy="8610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150620" cy="861061"/>
                    </a:xfrm>
                    <a:prstGeom prst="rect">
                      <a:avLst/>
                    </a:prstGeom>
                    <a:ln w="12700" cap="flat">
                      <a:noFill/>
                      <a:miter lim="400000"/>
                    </a:ln>
                    <a:effectLst/>
                  </pic:spPr>
                </pic:pic>
              </a:graphicData>
            </a:graphic>
          </wp:inline>
        </w:drawing>
      </w:r>
    </w:p>
    <w:p>
      <w:pPr>
        <w:pStyle w:val="Body"/>
        <w:spacing w:before="1" w:line="180" w:lineRule="exact"/>
        <w:rPr>
          <w:sz w:val="24"/>
          <w:szCs w:val="24"/>
        </w:rPr>
      </w:pPr>
    </w:p>
    <w:p>
      <w:pPr>
        <w:pStyle w:val="Body"/>
        <w:spacing w:line="200" w:lineRule="exact"/>
        <w:rPr>
          <w:sz w:val="24"/>
          <w:szCs w:val="24"/>
        </w:rPr>
      </w:pPr>
    </w:p>
    <w:p>
      <w:pPr>
        <w:pStyle w:val="Body"/>
        <w:spacing w:line="200" w:lineRule="exact"/>
        <w:rPr>
          <w:sz w:val="24"/>
          <w:szCs w:val="24"/>
        </w:rPr>
      </w:pPr>
    </w:p>
    <w:p>
      <w:pPr>
        <w:pStyle w:val="Body"/>
        <w:spacing w:before="12"/>
        <w:ind w:left="60" w:right="105" w:firstLine="0"/>
        <w:jc w:val="center"/>
        <w:rPr>
          <w:rFonts w:ascii="Calibri" w:cs="Calibri" w:hAnsi="Calibri" w:eastAsia="Calibri"/>
          <w:sz w:val="24"/>
          <w:szCs w:val="24"/>
        </w:rPr>
      </w:pPr>
      <w:r>
        <w:rPr>
          <w:rFonts w:ascii="Calibri" w:cs="Calibri" w:hAnsi="Calibri" w:eastAsia="Calibri"/>
          <w:sz w:val="24"/>
          <w:szCs w:val="24"/>
          <w:rtl w:val="0"/>
          <w:lang w:val="en-US"/>
        </w:rPr>
        <w:t>Community Response in conjunction with the Ballyfermot, Canal Communities, Dublin 12 and South Inner-City Drug and</w:t>
      </w:r>
    </w:p>
    <w:p>
      <w:pPr>
        <w:pStyle w:val="Body"/>
        <w:spacing w:before="22"/>
        <w:ind w:left="100" w:firstLine="0"/>
        <w:jc w:val="center"/>
        <w:rPr>
          <w:rFonts w:ascii="Calibri" w:cs="Calibri" w:hAnsi="Calibri" w:eastAsia="Calibri"/>
          <w:sz w:val="24"/>
          <w:szCs w:val="24"/>
        </w:rPr>
      </w:pPr>
      <w:r>
        <w:rPr>
          <w:rFonts w:ascii="Calibri" w:cs="Calibri" w:hAnsi="Calibri" w:eastAsia="Calibri"/>
          <w:sz w:val="24"/>
          <w:szCs w:val="24"/>
          <w:rtl w:val="0"/>
          <w:lang w:val="en-US"/>
        </w:rPr>
        <w:t>Alcohol Task Forces invite applications for the following position:</w:t>
      </w:r>
    </w:p>
    <w:p>
      <w:pPr>
        <w:pStyle w:val="Body"/>
        <w:spacing w:before="22"/>
        <w:ind w:left="100" w:firstLine="0"/>
        <w:jc w:val="center"/>
        <w:rPr>
          <w:rFonts w:ascii="Calibri" w:cs="Calibri" w:hAnsi="Calibri" w:eastAsia="Calibri"/>
          <w:sz w:val="24"/>
          <w:szCs w:val="24"/>
        </w:rPr>
      </w:pPr>
      <w:r>
        <w:rPr>
          <w:rFonts w:ascii="Calibri" w:cs="Calibri" w:hAnsi="Calibri" w:eastAsia="Calibri"/>
          <w:sz w:val="24"/>
          <w:szCs w:val="24"/>
          <w:rtl w:val="0"/>
          <w:lang w:val="en-US"/>
        </w:rPr>
        <w:t xml:space="preserve">Secondments will be considered </w:t>
      </w:r>
    </w:p>
    <w:p>
      <w:pPr>
        <w:pStyle w:val="Body"/>
        <w:spacing w:before="22"/>
        <w:rPr>
          <w:rFonts w:ascii="Calibri" w:cs="Calibri" w:hAnsi="Calibri" w:eastAsia="Calibri"/>
          <w:b w:val="1"/>
          <w:bCs w:val="1"/>
          <w:sz w:val="24"/>
          <w:szCs w:val="24"/>
        </w:rPr>
      </w:pPr>
    </w:p>
    <w:p>
      <w:pPr>
        <w:pStyle w:val="Body"/>
        <w:spacing w:before="21"/>
        <w:ind w:left="4455" w:right="4394" w:firstLine="0"/>
        <w:jc w:val="center"/>
        <w:rPr>
          <w:rFonts w:ascii="Calibri" w:cs="Calibri" w:hAnsi="Calibri" w:eastAsia="Calibri"/>
          <w:sz w:val="24"/>
          <w:szCs w:val="24"/>
        </w:rPr>
      </w:pPr>
      <w:r>
        <w:rPr>
          <w:rFonts w:ascii="Calibri" w:cs="Calibri" w:hAnsi="Calibri" w:eastAsia="Calibri"/>
          <w:b w:val="1"/>
          <w:bCs w:val="1"/>
          <w:sz w:val="24"/>
          <w:szCs w:val="24"/>
          <w:u w:val="single" w:color="000000"/>
          <w:rtl w:val="0"/>
          <w:lang w:val="en-US"/>
        </w:rPr>
        <w:t>Alcohol Link Worker</w:t>
      </w:r>
    </w:p>
    <w:p>
      <w:pPr>
        <w:pStyle w:val="Body"/>
        <w:spacing w:before="24"/>
        <w:ind w:left="3163" w:right="3104" w:firstLine="0"/>
        <w:jc w:val="center"/>
        <w:rPr>
          <w:rFonts w:ascii="Calibri" w:cs="Calibri" w:hAnsi="Calibri" w:eastAsia="Calibri"/>
          <w:sz w:val="24"/>
          <w:szCs w:val="24"/>
        </w:rPr>
      </w:pPr>
      <w:r>
        <w:rPr>
          <w:rFonts w:ascii="Calibri" w:cs="Calibri" w:hAnsi="Calibri" w:eastAsia="Calibri"/>
          <w:b w:val="1"/>
          <w:bCs w:val="1"/>
          <w:sz w:val="24"/>
          <w:szCs w:val="24"/>
          <w:u w:val="single" w:color="000000"/>
          <w:rtl w:val="0"/>
          <w:lang w:val="en-US"/>
        </w:rPr>
        <w:t xml:space="preserve"> Full-time 35 hours (1-year fixed term contract)</w:t>
      </w:r>
    </w:p>
    <w:p>
      <w:pPr>
        <w:pStyle w:val="Body"/>
        <w:spacing w:before="6" w:line="120" w:lineRule="exact"/>
        <w:rPr>
          <w:sz w:val="24"/>
          <w:szCs w:val="24"/>
        </w:rPr>
      </w:pPr>
    </w:p>
    <w:p>
      <w:pPr>
        <w:pStyle w:val="Body"/>
        <w:spacing w:line="200" w:lineRule="exact"/>
        <w:rPr>
          <w:sz w:val="24"/>
          <w:szCs w:val="24"/>
        </w:rPr>
      </w:pPr>
    </w:p>
    <w:p>
      <w:pPr>
        <w:pStyle w:val="Body"/>
        <w:spacing w:before="12" w:line="258" w:lineRule="auto"/>
        <w:ind w:left="100" w:right="174" w:firstLine="0"/>
        <w:rPr>
          <w:rFonts w:ascii="Calibri" w:cs="Calibri" w:hAnsi="Calibri" w:eastAsia="Calibri"/>
          <w:sz w:val="24"/>
          <w:szCs w:val="24"/>
        </w:rPr>
      </w:pPr>
      <w:r>
        <w:rPr>
          <w:rFonts w:ascii="Calibri" w:cs="Calibri" w:hAnsi="Calibri" w:eastAsia="Calibri"/>
          <w:b w:val="1"/>
          <w:bCs w:val="1"/>
          <w:sz w:val="24"/>
          <w:szCs w:val="24"/>
          <w:rtl w:val="0"/>
          <w:lang w:val="en-US"/>
        </w:rPr>
        <w:t xml:space="preserve">The role: </w:t>
      </w:r>
      <w:r>
        <w:rPr>
          <w:rFonts w:ascii="Calibri" w:cs="Calibri" w:hAnsi="Calibri" w:eastAsia="Calibri"/>
          <w:sz w:val="24"/>
          <w:szCs w:val="24"/>
          <w:rtl w:val="0"/>
          <w:lang w:val="en-US"/>
        </w:rPr>
        <w:t xml:space="preserve">The </w:t>
      </w:r>
      <w:bookmarkStart w:name="_Hlk43474185" w:id="0"/>
      <w:r>
        <w:rPr>
          <w:rFonts w:ascii="Calibri" w:cs="Calibri" w:hAnsi="Calibri" w:eastAsia="Calibri"/>
          <w:sz w:val="24"/>
          <w:szCs w:val="24"/>
          <w:rtl w:val="0"/>
          <w:lang w:val="en-US"/>
        </w:rPr>
        <w:t xml:space="preserve">person will </w:t>
      </w:r>
      <w:bookmarkEnd w:id="0"/>
      <w:r>
        <w:rPr>
          <w:rFonts w:ascii="Calibri" w:cs="Calibri" w:hAnsi="Calibri" w:eastAsia="Calibri"/>
          <w:sz w:val="24"/>
          <w:szCs w:val="24"/>
          <w:rtl w:val="0"/>
          <w:lang w:val="en-US"/>
        </w:rPr>
        <w:t>act as the lead contact for the establishment interagency work and the development and implementation of the community alcohol detox project across the four task force areas. This will include working with predominantly addiction funded projects across the four Task Force areas, to strengthen the interagency model of practice under the National Drug Rehabilitation Framework and to develop a best practice model for a Community Alcohol Detox project.</w:t>
      </w:r>
    </w:p>
    <w:p>
      <w:pPr>
        <w:pStyle w:val="Body"/>
        <w:spacing w:before="15" w:line="280" w:lineRule="exact"/>
        <w:rPr>
          <w:sz w:val="24"/>
          <w:szCs w:val="24"/>
        </w:rPr>
      </w:pPr>
    </w:p>
    <w:p>
      <w:pPr>
        <w:pStyle w:val="Body"/>
        <w:spacing w:line="259" w:lineRule="auto"/>
        <w:ind w:left="100" w:right="274" w:firstLine="0"/>
        <w:rPr>
          <w:rFonts w:ascii="Calibri" w:cs="Calibri" w:hAnsi="Calibri" w:eastAsia="Calibri"/>
          <w:sz w:val="24"/>
          <w:szCs w:val="24"/>
        </w:rPr>
      </w:pPr>
      <w:r>
        <w:rPr>
          <w:sz w:val="24"/>
          <w:szCs w:val="24"/>
        </w:rPr>
        <mc:AlternateContent>
          <mc:Choice Requires="wps">
            <w:drawing>
              <wp:anchor distT="0" distB="0" distL="0" distR="0" simplePos="0" relativeHeight="251655168" behindDoc="1" locked="0" layoutInCell="1" allowOverlap="1">
                <wp:simplePos x="0" y="0"/>
                <wp:positionH relativeFrom="page">
                  <wp:posOffset>1037081</wp:posOffset>
                </wp:positionH>
                <wp:positionV relativeFrom="line">
                  <wp:posOffset>150368</wp:posOffset>
                </wp:positionV>
                <wp:extent cx="381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8101" cy="0"/>
                        </a:xfrm>
                        <a:prstGeom prst="line">
                          <a:avLst/>
                        </a:prstGeom>
                        <a:noFill/>
                        <a:ln w="10414" cap="flat">
                          <a:solidFill>
                            <a:srgbClr val="000000"/>
                          </a:solidFill>
                          <a:prstDash val="solid"/>
                          <a:round/>
                        </a:ln>
                        <a:effectLst/>
                      </wps:spPr>
                      <wps:bodyPr/>
                    </wps:wsp>
                  </a:graphicData>
                </a:graphic>
              </wp:anchor>
            </w:drawing>
          </mc:Choice>
          <mc:Fallback>
            <w:pict>
              <v:line id="_x0000_s1026" style="visibility:visible;position:absolute;margin-left:81.7pt;margin-top:11.8pt;width:3.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cs="Calibri" w:hAnsi="Calibri" w:eastAsia="Calibri"/>
          <w:b w:val="1"/>
          <w:bCs w:val="1"/>
          <w:sz w:val="24"/>
          <w:szCs w:val="24"/>
          <w:rtl w:val="0"/>
          <w:lang w:val="en-US"/>
        </w:rPr>
        <w:t xml:space="preserve">Reporting:  </w:t>
      </w:r>
      <w:r>
        <w:rPr>
          <w:rFonts w:ascii="Calibri" w:cs="Calibri" w:hAnsi="Calibri" w:eastAsia="Calibri"/>
          <w:sz w:val="24"/>
          <w:szCs w:val="24"/>
          <w:rtl w:val="0"/>
          <w:lang w:val="en-US"/>
        </w:rPr>
        <w:t>The Alcohol Link Worker will report on a day-to-day basis to the Project Manager of Community Response and their work will be informed and guided by the Project Management Group (PMG).</w:t>
      </w:r>
    </w:p>
    <w:p>
      <w:pPr>
        <w:pStyle w:val="Body"/>
        <w:spacing w:line="259" w:lineRule="auto"/>
        <w:ind w:left="100" w:right="274" w:firstLine="0"/>
        <w:rPr>
          <w:rFonts w:ascii="Calibri" w:cs="Calibri" w:hAnsi="Calibri" w:eastAsia="Calibri"/>
          <w:sz w:val="24"/>
          <w:szCs w:val="24"/>
        </w:rPr>
      </w:pPr>
    </w:p>
    <w:p>
      <w:pPr>
        <w:pStyle w:val="Body"/>
        <w:spacing w:line="259" w:lineRule="auto"/>
        <w:ind w:left="100" w:right="274" w:firstLine="0"/>
        <w:rPr>
          <w:rFonts w:ascii="Calibri" w:cs="Calibri" w:hAnsi="Calibri" w:eastAsia="Calibri"/>
          <w:sz w:val="24"/>
          <w:szCs w:val="24"/>
        </w:rPr>
      </w:pPr>
      <w:r>
        <w:rPr>
          <w:rFonts w:ascii="Calibri" w:cs="Calibri" w:hAnsi="Calibri" w:eastAsia="Calibri"/>
          <w:b w:val="1"/>
          <w:bCs w:val="1"/>
          <w:sz w:val="24"/>
          <w:szCs w:val="24"/>
          <w:rtl w:val="0"/>
          <w:lang w:val="en-US"/>
        </w:rPr>
        <w:t>Target group</w:t>
      </w:r>
      <w:r>
        <w:rPr>
          <w:rFonts w:ascii="Calibri" w:cs="Calibri" w:hAnsi="Calibri" w:eastAsia="Calibri"/>
          <w:sz w:val="24"/>
          <w:szCs w:val="24"/>
          <w:rtl w:val="0"/>
          <w:lang w:val="en-US"/>
        </w:rPr>
        <w:t xml:space="preserve"> </w:t>
      </w:r>
    </w:p>
    <w:p>
      <w:pPr>
        <w:pStyle w:val="Body"/>
        <w:spacing w:line="259" w:lineRule="auto"/>
        <w:ind w:left="100" w:right="274" w:firstLine="0"/>
        <w:rPr>
          <w:rFonts w:ascii="Calibri" w:cs="Calibri" w:hAnsi="Calibri" w:eastAsia="Calibri"/>
          <w:sz w:val="24"/>
          <w:szCs w:val="24"/>
        </w:rPr>
      </w:pPr>
      <w:r>
        <w:rPr>
          <w:rFonts w:ascii="Calibri" w:cs="Calibri" w:hAnsi="Calibri" w:eastAsia="Calibri"/>
          <w:sz w:val="24"/>
          <w:szCs w:val="24"/>
          <w:rtl w:val="0"/>
          <w:lang w:val="en-US"/>
        </w:rPr>
        <w:t>The project aims to reach out to people who may face barriers to entering residential detox or not wishing/able to engage with existing drug and alcohol services. The Community Alcohol Detox Project has identified the following as the primary target groups:</w:t>
      </w:r>
    </w:p>
    <w:p>
      <w:pPr>
        <w:pStyle w:val="Body"/>
        <w:spacing w:line="259" w:lineRule="auto"/>
        <w:ind w:left="100" w:right="274" w:firstLine="0"/>
        <w:rPr>
          <w:rFonts w:ascii="Calibri" w:cs="Calibri" w:hAnsi="Calibri" w:eastAsia="Calibri"/>
          <w:sz w:val="24"/>
          <w:szCs w:val="24"/>
          <w:lang w:val="en-US"/>
        </w:rPr>
      </w:pPr>
    </w:p>
    <w:tbl>
      <w:tblPr>
        <w:tblW w:w="8882" w:type="dxa"/>
        <w:jc w:val="left"/>
        <w:tblInd w:w="1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80"/>
        <w:gridCol w:w="4502"/>
      </w:tblGrid>
      <w:tr>
        <w:tblPrEx>
          <w:shd w:val="clear" w:color="auto" w:fill="ced7e7"/>
        </w:tblPrEx>
        <w:trPr>
          <w:trHeight w:val="1196"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People not currently engaged with drug or alcohol services or who do not find it safe to access such projects</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Members of the Traveller community</w:t>
            </w:r>
          </w:p>
        </w:tc>
      </w:tr>
      <w:tr>
        <w:tblPrEx>
          <w:shd w:val="clear" w:color="auto" w:fill="ced7e7"/>
        </w:tblPrEx>
        <w:trPr>
          <w:trHeight w:val="894"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Parents with childcare requirements unable to attend residential services</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 xml:space="preserve">New Communities  </w:t>
            </w:r>
          </w:p>
        </w:tc>
      </w:tr>
      <w:tr>
        <w:tblPrEx>
          <w:shd w:val="clear" w:color="auto" w:fill="ced7e7"/>
        </w:tblPrEx>
        <w:trPr>
          <w:trHeight w:val="290"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People in employment</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 xml:space="preserve">Older persons  </w:t>
            </w:r>
          </w:p>
        </w:tc>
      </w:tr>
      <w:tr>
        <w:tblPrEx>
          <w:shd w:val="clear" w:color="auto" w:fill="ced7e7"/>
        </w:tblPrEx>
        <w:trPr>
          <w:trHeight w:val="592"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People who cannot access services because of disability or mobility</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People with co-morbid mental health and substance use problems</w:t>
            </w:r>
          </w:p>
        </w:tc>
      </w:tr>
      <w:tr>
        <w:tblPrEx>
          <w:shd w:val="clear" w:color="auto" w:fill="ced7e7"/>
        </w:tblPrEx>
        <w:trPr>
          <w:trHeight w:val="592"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Service users of the Probation Services</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Lesbian, gay, bisexual, transgender, and intersex communities</w:t>
            </w:r>
          </w:p>
        </w:tc>
      </w:tr>
      <w:tr>
        <w:tblPrEx>
          <w:shd w:val="clear" w:color="auto" w:fill="ced7e7"/>
        </w:tblPrEx>
        <w:trPr>
          <w:trHeight w:val="290" w:hRule="atLeast"/>
        </w:trPr>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People using homeless services</w:t>
            </w:r>
          </w:p>
        </w:tc>
        <w:tc>
          <w:tcPr>
            <w:tcW w:type="dxa" w:w="4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354"/>
            </w:tcMar>
            <w:vAlign w:val="top"/>
          </w:tcPr>
          <w:p>
            <w:pPr>
              <w:pStyle w:val="Body"/>
              <w:spacing w:line="259" w:lineRule="auto"/>
              <w:ind w:left="100" w:right="274" w:firstLine="0"/>
            </w:pPr>
            <w:r>
              <w:rPr>
                <w:rFonts w:ascii="Calibri" w:cs="Calibri" w:hAnsi="Calibri" w:eastAsia="Calibri"/>
                <w:sz w:val="24"/>
                <w:szCs w:val="24"/>
                <w:rtl w:val="0"/>
                <w:lang w:val="en-US"/>
              </w:rPr>
              <w:t>Sex Workers</w:t>
            </w:r>
          </w:p>
        </w:tc>
      </w:tr>
    </w:tbl>
    <w:p>
      <w:pPr>
        <w:pStyle w:val="Body"/>
        <w:widowControl w:val="0"/>
        <w:ind w:left="14" w:hanging="14"/>
        <w:rPr>
          <w:rFonts w:ascii="Calibri" w:cs="Calibri" w:hAnsi="Calibri" w:eastAsia="Calibri"/>
          <w:sz w:val="24"/>
          <w:szCs w:val="24"/>
          <w:lang w:val="en-US"/>
        </w:rPr>
      </w:pPr>
    </w:p>
    <w:p>
      <w:pPr>
        <w:pStyle w:val="Body"/>
        <w:spacing w:line="259" w:lineRule="auto"/>
        <w:ind w:left="100" w:right="274" w:firstLine="0"/>
        <w:rPr>
          <w:rFonts w:ascii="Calibri" w:cs="Calibri" w:hAnsi="Calibri" w:eastAsia="Calibri"/>
          <w:sz w:val="24"/>
          <w:szCs w:val="24"/>
        </w:rPr>
      </w:pPr>
    </w:p>
    <w:p>
      <w:pPr>
        <w:pStyle w:val="Body"/>
        <w:spacing w:before="12" w:line="280" w:lineRule="exact"/>
        <w:rPr>
          <w:sz w:val="24"/>
          <w:szCs w:val="24"/>
        </w:rPr>
      </w:pPr>
    </w:p>
    <w:p>
      <w:pPr>
        <w:pStyle w:val="Body"/>
        <w:spacing w:before="12" w:line="280" w:lineRule="exact"/>
        <w:rPr>
          <w:sz w:val="24"/>
          <w:szCs w:val="24"/>
        </w:rPr>
      </w:pPr>
    </w:p>
    <w:p>
      <w:pPr>
        <w:pStyle w:val="Body"/>
        <w:spacing w:before="12" w:line="280" w:lineRule="exact"/>
        <w:rPr>
          <w:sz w:val="24"/>
          <w:szCs w:val="24"/>
        </w:rPr>
      </w:pPr>
    </w:p>
    <w:p>
      <w:pPr>
        <w:pStyle w:val="Body"/>
        <w:ind w:left="100" w:firstLine="0"/>
        <w:rPr>
          <w:rFonts w:ascii="Calibri" w:cs="Calibri" w:hAnsi="Calibri" w:eastAsia="Calibri"/>
          <w:sz w:val="24"/>
          <w:szCs w:val="24"/>
        </w:rPr>
      </w:pPr>
      <w:r>
        <w:rPr>
          <w:rFonts w:ascii="Calibri" w:cs="Calibri" w:hAnsi="Calibri" w:eastAsia="Calibri"/>
          <w:b w:val="1"/>
          <w:bCs w:val="1"/>
          <w:sz w:val="24"/>
          <w:szCs w:val="24"/>
          <w:rtl w:val="0"/>
          <w:lang w:val="en-US"/>
        </w:rPr>
        <w:t>Job description</w:t>
      </w:r>
    </w:p>
    <w:p>
      <w:pPr>
        <w:pStyle w:val="Body"/>
        <w:spacing w:before="22"/>
        <w:ind w:left="100" w:firstLine="0"/>
        <w:rPr>
          <w:rFonts w:ascii="Calibri" w:cs="Calibri" w:hAnsi="Calibri" w:eastAsia="Calibri"/>
          <w:sz w:val="24"/>
          <w:szCs w:val="24"/>
        </w:rPr>
      </w:pPr>
      <w:r>
        <w:rPr>
          <w:rFonts w:ascii="Calibri" w:cs="Calibri" w:hAnsi="Calibri" w:eastAsia="Calibri"/>
          <w:sz w:val="24"/>
          <w:szCs w:val="24"/>
          <w:rtl w:val="0"/>
          <w:lang w:val="en-US"/>
        </w:rPr>
        <w:t>The successful candidate will:</w:t>
      </w:r>
    </w:p>
    <w:p>
      <w:pPr>
        <w:pStyle w:val="Body"/>
        <w:spacing w:before="22"/>
        <w:ind w:left="100" w:firstLine="0"/>
        <w:rPr>
          <w:rFonts w:ascii="Calibri" w:cs="Calibri" w:hAnsi="Calibri" w:eastAsia="Calibri"/>
          <w:sz w:val="24"/>
          <w:szCs w:val="24"/>
        </w:rPr>
      </w:pPr>
    </w:p>
    <w:p>
      <w:pPr>
        <w:pStyle w:val="List Paragraph"/>
        <w:numPr>
          <w:ilvl w:val="0"/>
          <w:numId w:val="2"/>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Broker an in-reach arrangement with James's hospital A&amp;E to strengthen the referral from emergency hospital settings to community-based supports for individuals where problematic alcohol use is an issue.</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To generate robust links with the Community GPs, Primary Care services and James</w:t>
      </w:r>
      <w:r>
        <w:rPr>
          <w:rFonts w:ascii="Calibri" w:cs="Calibri" w:hAnsi="Calibri" w:eastAsia="Calibri"/>
          <w:sz w:val="24"/>
          <w:szCs w:val="24"/>
          <w:rtl w:val="0"/>
          <w:lang w:val="en-US"/>
        </w:rPr>
        <w:t>’</w:t>
      </w:r>
      <w:r>
        <w:rPr>
          <w:rFonts w:ascii="Calibri" w:cs="Calibri" w:hAnsi="Calibri" w:eastAsia="Calibri"/>
          <w:sz w:val="24"/>
          <w:szCs w:val="24"/>
          <w:rtl w:val="0"/>
          <w:lang w:val="en-US"/>
        </w:rPr>
        <w:t>s Hospital and other identified stakeholders.</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Be a point of contact for identified community-based projects and/or referral agents, signposting people to suitable local services</w:t>
        <w:tab/>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Support existing projects in each Task Force area to strengthen their capacity to respond to service users /people who require an alcohol detox OR reduce their alcohol use through a non </w:t>
      </w:r>
      <w:r>
        <w:rPr>
          <w:rFonts w:ascii="Calibri" w:cs="Calibri" w:hAnsi="Calibri" w:eastAsia="Calibri"/>
          <w:sz w:val="24"/>
          <w:szCs w:val="24"/>
          <w:rtl w:val="0"/>
          <w:lang w:val="en-US"/>
        </w:rPr>
        <w:t>–</w:t>
      </w:r>
      <w:r>
        <w:rPr>
          <w:rFonts w:ascii="Calibri" w:cs="Calibri" w:hAnsi="Calibri" w:eastAsia="Calibri"/>
          <w:sz w:val="24"/>
          <w:szCs w:val="24"/>
          <w:rtl w:val="0"/>
          <w:lang w:val="en-US"/>
        </w:rPr>
        <w:t>residential setting.</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Promote and support service user involvement mechanisms to inform policy and service development.</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To work with the project management group and external consultant on service users and services to review, design and deliver suitable supports.</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Signpost projects to existing training packages (e.g, SAOR) or to relevant organisations to support Tier 1-2 services to identify and respond to the needs of people looking to address their alcohol use through detox.</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Reinforce the principles of National Drug Rehabilitation Framework as a model for inter-agency practice and improve interagency work across sectors by way of developing training and other materials for stakeholder.</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Provide guidance and support to generate integrated practices in service and care pathways for individuals, family and significant others.</w:t>
      </w:r>
    </w:p>
    <w:p>
      <w:pPr>
        <w:pStyle w:val="Body"/>
        <w:spacing w:before="22"/>
        <w:ind w:left="100" w:firstLine="0"/>
        <w:rPr>
          <w:rFonts w:ascii="Calibri" w:cs="Calibri" w:hAnsi="Calibri" w:eastAsia="Calibri"/>
          <w:sz w:val="24"/>
          <w:szCs w:val="24"/>
          <w:lang w:val="en-US"/>
        </w:rPr>
      </w:pPr>
    </w:p>
    <w:p>
      <w:pPr>
        <w:pStyle w:val="Body"/>
        <w:numPr>
          <w:ilvl w:val="0"/>
          <w:numId w:val="4"/>
        </w:numPr>
        <w:bidi w:val="0"/>
        <w:spacing w:before="22"/>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Gather and collate information on the Key Performance Indicators (KPI) across services and have consistent data management for this initiative in conjunction with the PMG.</w:t>
      </w:r>
    </w:p>
    <w:p>
      <w:pPr>
        <w:pStyle w:val="Body"/>
        <w:spacing w:before="22"/>
        <w:ind w:left="100" w:firstLine="0"/>
        <w:rPr>
          <w:rFonts w:ascii="Calibri" w:cs="Calibri" w:hAnsi="Calibri" w:eastAsia="Calibri"/>
          <w:sz w:val="24"/>
          <w:szCs w:val="24"/>
        </w:rPr>
      </w:pPr>
    </w:p>
    <w:p>
      <w:pPr>
        <w:pStyle w:val="Body"/>
        <w:spacing w:before="2" w:line="180" w:lineRule="exact"/>
        <w:rPr>
          <w:sz w:val="24"/>
          <w:szCs w:val="24"/>
        </w:rPr>
      </w:pPr>
    </w:p>
    <w:p>
      <w:pPr>
        <w:pStyle w:val="Body"/>
        <w:spacing w:line="258" w:lineRule="auto"/>
        <w:ind w:left="100" w:right="78"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The above job description is not intended to be a comprehensive list of all duties involved and consequently, the post holder may be required to perform other duties as appropriate to the post which may be assigned to him/her from time to time and contribute to the development of the post while in office.</w:t>
      </w:r>
    </w:p>
    <w:p>
      <w:pPr>
        <w:pStyle w:val="Body"/>
        <w:spacing w:line="258" w:lineRule="auto"/>
        <w:ind w:left="100" w:right="78" w:firstLine="0"/>
        <w:rPr>
          <w:rFonts w:ascii="Calibri" w:cs="Calibri" w:hAnsi="Calibri" w:eastAsia="Calibri"/>
          <w:b w:val="1"/>
          <w:bCs w:val="1"/>
          <w:sz w:val="24"/>
          <w:szCs w:val="24"/>
        </w:rPr>
      </w:pPr>
    </w:p>
    <w:p>
      <w:pPr>
        <w:pStyle w:val="Body"/>
        <w:spacing w:line="258" w:lineRule="auto"/>
        <w:ind w:left="100" w:right="78" w:firstLine="0"/>
        <w:rPr>
          <w:rFonts w:ascii="Calibri" w:cs="Calibri" w:hAnsi="Calibri" w:eastAsia="Calibri"/>
          <w:b w:val="1"/>
          <w:bCs w:val="1"/>
          <w:sz w:val="24"/>
          <w:szCs w:val="24"/>
        </w:rPr>
      </w:pPr>
    </w:p>
    <w:p>
      <w:pPr>
        <w:pStyle w:val="Body"/>
        <w:spacing w:line="258" w:lineRule="auto"/>
        <w:ind w:left="100" w:right="78"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This post has received approval for a secondment arrangement.</w:t>
      </w:r>
    </w:p>
    <w:p>
      <w:pPr>
        <w:pStyle w:val="Body"/>
        <w:spacing w:line="258" w:lineRule="auto"/>
        <w:ind w:left="100" w:right="78" w:firstLine="0"/>
        <w:sectPr>
          <w:headerReference w:type="default" r:id="rId5"/>
          <w:footerReference w:type="default" r:id="rId6"/>
          <w:pgSz w:w="12240" w:h="15840" w:orient="portrait"/>
          <w:pgMar w:top="900" w:right="680" w:bottom="280" w:left="620" w:header="720" w:footer="720"/>
          <w:bidi w:val="0"/>
        </w:sectPr>
      </w:pPr>
      <w:r>
        <w:rPr>
          <w:rFonts w:ascii="Calibri" w:cs="Calibri" w:hAnsi="Calibri" w:eastAsia="Calibri"/>
          <w:b w:val="1"/>
          <w:bCs w:val="1"/>
          <w:sz w:val="24"/>
          <w:szCs w:val="24"/>
          <w:rtl w:val="0"/>
        </w:rPr>
        <w:t xml:space="preserve"> </w:t>
      </w:r>
    </w:p>
    <w:p>
      <w:pPr>
        <w:pStyle w:val="Body"/>
        <w:spacing w:before="43"/>
        <w:ind w:left="100" w:firstLine="0"/>
        <w:rPr>
          <w:rFonts w:ascii="Calibri" w:cs="Calibri" w:hAnsi="Calibri" w:eastAsia="Calibri"/>
          <w:b w:val="1"/>
          <w:bCs w:val="1"/>
          <w:sz w:val="24"/>
          <w:szCs w:val="24"/>
        </w:rPr>
      </w:pPr>
    </w:p>
    <w:p>
      <w:pPr>
        <w:pStyle w:val="Body"/>
        <w:spacing w:before="43"/>
        <w:ind w:left="100" w:firstLine="0"/>
        <w:rPr>
          <w:rFonts w:ascii="Calibri" w:cs="Calibri" w:hAnsi="Calibri" w:eastAsia="Calibri"/>
          <w:b w:val="1"/>
          <w:bCs w:val="1"/>
          <w:sz w:val="24"/>
          <w:szCs w:val="24"/>
        </w:rPr>
      </w:pPr>
    </w:p>
    <w:p>
      <w:pPr>
        <w:pStyle w:val="Body"/>
        <w:spacing w:before="43"/>
        <w:ind w:left="100" w:firstLine="0"/>
        <w:rPr>
          <w:rFonts w:ascii="Calibri" w:cs="Calibri" w:hAnsi="Calibri" w:eastAsia="Calibri"/>
          <w:sz w:val="24"/>
          <w:szCs w:val="24"/>
        </w:rPr>
      </w:pPr>
      <w:r>
        <w:rPr>
          <w:rFonts w:ascii="Calibri" w:cs="Calibri" w:hAnsi="Calibri" w:eastAsia="Calibri"/>
          <w:b w:val="1"/>
          <w:bCs w:val="1"/>
          <w:sz w:val="24"/>
          <w:szCs w:val="24"/>
          <w:rtl w:val="0"/>
          <w:lang w:val="en-US"/>
        </w:rPr>
        <w:t>Person specification:</w:t>
      </w:r>
    </w:p>
    <w:p>
      <w:pPr>
        <w:pStyle w:val="Body"/>
        <w:spacing w:before="22" w:line="257" w:lineRule="auto"/>
        <w:ind w:left="100" w:right="132" w:firstLine="0"/>
        <w:rPr>
          <w:rFonts w:ascii="Calibri" w:cs="Calibri" w:hAnsi="Calibri" w:eastAsia="Calibri"/>
          <w:sz w:val="24"/>
          <w:szCs w:val="24"/>
        </w:rPr>
      </w:pPr>
      <w:r>
        <w:rPr>
          <w:rFonts w:ascii="Calibri" w:cs="Calibri" w:hAnsi="Calibri" w:eastAsia="Calibri"/>
          <w:sz w:val="24"/>
          <w:szCs w:val="24"/>
          <w:rtl w:val="0"/>
          <w:lang w:val="en-US"/>
        </w:rPr>
        <w:t>Each candidate must possess the requisite knowledge and ability (including a high standard of suitability) for the proper discharge of the duties of the post. Upon offer of contract, the successful candidate will be required to provide:</w:t>
      </w:r>
    </w:p>
    <w:p>
      <w:pPr>
        <w:pStyle w:val="Body"/>
        <w:spacing w:before="6" w:line="160" w:lineRule="exact"/>
        <w:rPr>
          <w:sz w:val="24"/>
          <w:szCs w:val="24"/>
        </w:rPr>
      </w:pPr>
    </w:p>
    <w:p>
      <w:pPr>
        <w:pStyle w:val="Body"/>
        <w:ind w:left="460" w:firstLine="0"/>
        <w:rPr>
          <w:rFonts w:ascii="Calibri" w:cs="Calibri" w:hAnsi="Calibri" w:eastAsia="Calibri"/>
          <w:sz w:val="24"/>
          <w:szCs w:val="24"/>
        </w:rPr>
      </w:pPr>
      <w:r>
        <w:rPr>
          <w:rFonts w:ascii="Calibri" w:cs="Calibri" w:hAnsi="Calibri" w:eastAsia="Calibri"/>
          <w:sz w:val="24"/>
          <w:szCs w:val="24"/>
          <w:rtl w:val="0"/>
          <w:lang w:val="en-US"/>
        </w:rPr>
        <w:t>-      Subject to three satisfactory work references including most recent employer</w:t>
      </w:r>
    </w:p>
    <w:p>
      <w:pPr>
        <w:pStyle w:val="Body"/>
        <w:spacing w:before="19"/>
        <w:ind w:left="460" w:firstLine="0"/>
        <w:rPr>
          <w:rFonts w:ascii="Calibri" w:cs="Calibri" w:hAnsi="Calibri" w:eastAsia="Calibri"/>
          <w:sz w:val="24"/>
          <w:szCs w:val="24"/>
        </w:rPr>
      </w:pPr>
      <w:r>
        <w:rPr>
          <w:rFonts w:ascii="Calibri" w:cs="Calibri" w:hAnsi="Calibri" w:eastAsia="Calibri"/>
          <w:sz w:val="24"/>
          <w:szCs w:val="24"/>
          <w:rtl w:val="0"/>
          <w:lang w:val="en-US"/>
        </w:rPr>
        <w:t>-       Original documentation for all qualification requirements for the post.</w:t>
      </w:r>
    </w:p>
    <w:p>
      <w:pPr>
        <w:pStyle w:val="Body"/>
        <w:spacing w:before="22"/>
        <w:ind w:left="460" w:firstLine="0"/>
        <w:rPr>
          <w:rFonts w:ascii="Calibri" w:cs="Calibri" w:hAnsi="Calibri" w:eastAsia="Calibri"/>
          <w:sz w:val="24"/>
          <w:szCs w:val="24"/>
        </w:rPr>
      </w:pPr>
      <w:r>
        <w:rPr>
          <w:rFonts w:ascii="Calibri" w:cs="Calibri" w:hAnsi="Calibri" w:eastAsia="Calibri"/>
          <w:sz w:val="24"/>
          <w:szCs w:val="24"/>
          <w:rtl w:val="0"/>
          <w:lang w:val="en-US"/>
        </w:rPr>
        <w:t>-      Offers will be subject to Community Response</w:t>
      </w:r>
      <w:r>
        <w:rPr>
          <w:rFonts w:ascii="Calibri" w:cs="Calibri" w:hAnsi="Calibri" w:eastAsia="Calibri"/>
          <w:sz w:val="24"/>
          <w:szCs w:val="24"/>
          <w:rtl w:val="0"/>
          <w:lang w:val="en-US"/>
        </w:rPr>
        <w:t>’</w:t>
      </w:r>
      <w:r>
        <w:rPr>
          <w:rFonts w:ascii="Calibri" w:cs="Calibri" w:hAnsi="Calibri" w:eastAsia="Calibri"/>
          <w:sz w:val="24"/>
          <w:szCs w:val="24"/>
          <w:rtl w:val="0"/>
          <w:lang w:val="it-IT"/>
        </w:rPr>
        <w:t>s Garda Vetting process.</w:t>
      </w:r>
    </w:p>
    <w:p>
      <w:pPr>
        <w:pStyle w:val="Body"/>
        <w:spacing w:before="22"/>
        <w:ind w:left="460" w:firstLine="0"/>
        <w:rPr>
          <w:rFonts w:ascii="Calibri" w:cs="Calibri" w:hAnsi="Calibri" w:eastAsia="Calibri"/>
          <w:sz w:val="24"/>
          <w:szCs w:val="24"/>
        </w:rPr>
      </w:pPr>
    </w:p>
    <w:p>
      <w:pPr>
        <w:pStyle w:val="Body"/>
        <w:spacing w:before="22"/>
        <w:ind w:left="460" w:firstLine="0"/>
        <w:rPr>
          <w:rFonts w:ascii="Calibri" w:cs="Calibri" w:hAnsi="Calibri" w:eastAsia="Calibri"/>
          <w:sz w:val="24"/>
          <w:szCs w:val="24"/>
        </w:rPr>
      </w:pPr>
      <w:r>
        <w:drawing>
          <wp:inline distT="0" distB="0" distL="0" distR="0">
            <wp:extent cx="6080760" cy="6233160"/>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7">
                      <a:extLst/>
                    </a:blip>
                    <a:stretch>
                      <a:fillRect/>
                    </a:stretch>
                  </pic:blipFill>
                  <pic:spPr>
                    <a:xfrm>
                      <a:off x="0" y="0"/>
                      <a:ext cx="6080760" cy="6233160"/>
                    </a:xfrm>
                    <a:prstGeom prst="rect">
                      <a:avLst/>
                    </a:prstGeom>
                    <a:ln w="12700" cap="flat">
                      <a:noFill/>
                      <a:miter lim="400000"/>
                    </a:ln>
                    <a:effectLst/>
                  </pic:spPr>
                </pic:pic>
              </a:graphicData>
            </a:graphic>
          </wp:inline>
        </w:drawing>
      </w:r>
    </w:p>
    <w:p>
      <w:pPr>
        <w:pStyle w:val="Body"/>
        <w:spacing w:line="200" w:lineRule="exact"/>
        <w:rPr>
          <w:sz w:val="24"/>
          <w:szCs w:val="24"/>
        </w:rPr>
      </w:pPr>
    </w:p>
    <w:p>
      <w:pPr>
        <w:pStyle w:val="Body"/>
        <w:spacing w:before="11" w:line="260" w:lineRule="exact"/>
        <w:rPr>
          <w:sz w:val="24"/>
          <w:szCs w:val="24"/>
        </w:rPr>
      </w:pPr>
    </w:p>
    <w:p>
      <w:pPr>
        <w:pStyle w:val="Body"/>
        <w:spacing w:before="19" w:line="276" w:lineRule="auto"/>
        <w:ind w:left="491" w:right="5424" w:firstLine="0"/>
        <w:jc w:val="both"/>
        <w:sectPr>
          <w:type w:val="continuous"/>
          <w:pgSz w:w="12240" w:h="15840" w:orient="portrait"/>
          <w:pgMar w:top="900" w:right="660" w:bottom="280" w:left="620" w:header="720" w:footer="720"/>
          <w:bidi w:val="0"/>
        </w:sectPr>
      </w:pPr>
    </w:p>
    <w:p>
      <w:pPr>
        <w:pStyle w:val="Body"/>
        <w:spacing w:before="61"/>
        <w:ind w:left="100" w:firstLine="0"/>
        <w:rPr>
          <w:rFonts w:ascii="Calibri" w:cs="Calibri" w:hAnsi="Calibri" w:eastAsia="Calibri"/>
          <w:sz w:val="24"/>
          <w:szCs w:val="24"/>
        </w:rPr>
      </w:pPr>
      <w:r>
        <w:rPr>
          <w:rFonts w:ascii="Calibri" w:cs="Calibri" w:hAnsi="Calibri" w:eastAsia="Calibri"/>
          <w:b w:val="1"/>
          <w:bCs w:val="1"/>
          <w:sz w:val="24"/>
          <w:szCs w:val="24"/>
          <w:rtl w:val="0"/>
          <w:lang w:val="pt-PT"/>
        </w:rPr>
        <w:t>Remuneration:</w:t>
      </w:r>
    </w:p>
    <w:p>
      <w:pPr>
        <w:pStyle w:val="Body"/>
        <w:spacing w:before="3" w:line="180" w:lineRule="exact"/>
        <w:rPr>
          <w:sz w:val="24"/>
          <w:szCs w:val="24"/>
        </w:rPr>
      </w:pPr>
    </w:p>
    <w:p>
      <w:pPr>
        <w:pStyle w:val="Body"/>
        <w:spacing w:line="259" w:lineRule="auto"/>
        <w:ind w:left="100" w:right="310" w:firstLine="0"/>
        <w:rPr>
          <w:rFonts w:ascii="Calibri" w:cs="Calibri" w:hAnsi="Calibri" w:eastAsia="Calibri"/>
          <w:sz w:val="24"/>
          <w:szCs w:val="24"/>
        </w:rPr>
      </w:pPr>
      <w:r>
        <w:rPr>
          <w:rFonts w:ascii="Calibri" w:cs="Calibri" w:hAnsi="Calibri" w:eastAsia="Calibri"/>
          <w:sz w:val="24"/>
          <w:szCs w:val="24"/>
          <w:rtl w:val="0"/>
          <w:lang w:val="en-US"/>
        </w:rPr>
        <w:t>The Salary for this post is HSE Clerical Officer Grade V</w:t>
      </w:r>
    </w:p>
    <w:p>
      <w:pPr>
        <w:pStyle w:val="Body"/>
        <w:spacing w:line="200" w:lineRule="exact"/>
        <w:rPr>
          <w:sz w:val="24"/>
          <w:szCs w:val="24"/>
        </w:rPr>
      </w:pPr>
    </w:p>
    <w:p>
      <w:pPr>
        <w:pStyle w:val="Body"/>
        <w:spacing w:line="200" w:lineRule="exact"/>
        <w:rPr>
          <w:sz w:val="24"/>
          <w:szCs w:val="24"/>
        </w:rPr>
      </w:pPr>
    </w:p>
    <w:p>
      <w:pPr>
        <w:pStyle w:val="Body"/>
        <w:spacing w:before="11" w:line="200" w:lineRule="exact"/>
        <w:rPr>
          <w:sz w:val="24"/>
          <w:szCs w:val="24"/>
        </w:rPr>
      </w:pPr>
    </w:p>
    <w:p>
      <w:pPr>
        <w:pStyle w:val="Body"/>
        <w:ind w:left="100" w:firstLine="0"/>
        <w:rPr>
          <w:rFonts w:ascii="Calibri" w:cs="Calibri" w:hAnsi="Calibri" w:eastAsia="Calibri"/>
          <w:sz w:val="24"/>
          <w:szCs w:val="24"/>
        </w:rPr>
      </w:pPr>
      <w:r>
        <w:rPr>
          <w:rFonts w:ascii="Calibri" w:cs="Calibri" w:hAnsi="Calibri" w:eastAsia="Calibri"/>
          <w:b w:val="1"/>
          <w:bCs w:val="1"/>
          <w:sz w:val="24"/>
          <w:szCs w:val="24"/>
          <w:rtl w:val="0"/>
          <w:lang w:val="en-US"/>
        </w:rPr>
        <w:t>Location:</w:t>
      </w:r>
    </w:p>
    <w:p>
      <w:pPr>
        <w:pStyle w:val="Body"/>
        <w:spacing w:before="3" w:line="180" w:lineRule="exact"/>
        <w:rPr>
          <w:sz w:val="24"/>
          <w:szCs w:val="24"/>
        </w:rPr>
      </w:pPr>
    </w:p>
    <w:p>
      <w:pPr>
        <w:pStyle w:val="Body"/>
        <w:spacing w:line="259" w:lineRule="auto"/>
        <w:ind w:left="100" w:right="236" w:firstLine="0"/>
        <w:rPr>
          <w:rFonts w:ascii="Calibri" w:cs="Calibri" w:hAnsi="Calibri" w:eastAsia="Calibri"/>
          <w:sz w:val="24"/>
          <w:szCs w:val="24"/>
        </w:rPr>
      </w:pPr>
      <w:r>
        <w:rPr>
          <w:rFonts w:ascii="Calibri" w:cs="Calibri" w:hAnsi="Calibri" w:eastAsia="Calibri"/>
          <w:sz w:val="24"/>
          <w:szCs w:val="24"/>
          <w:rtl w:val="0"/>
          <w:lang w:val="en-US"/>
        </w:rPr>
        <w:t>The post will be based in Community Response premises in Carman</w:t>
      </w:r>
      <w:r>
        <w:rPr>
          <w:rFonts w:ascii="Calibri" w:cs="Calibri" w:hAnsi="Calibri" w:eastAsia="Calibri"/>
          <w:sz w:val="24"/>
          <w:szCs w:val="24"/>
          <w:rtl w:val="0"/>
          <w:lang w:val="en-US"/>
        </w:rPr>
        <w:t>’</w:t>
      </w:r>
      <w:r>
        <w:rPr>
          <w:rFonts w:ascii="Calibri" w:cs="Calibri" w:hAnsi="Calibri" w:eastAsia="Calibri"/>
          <w:sz w:val="24"/>
          <w:szCs w:val="24"/>
          <w:rtl w:val="0"/>
          <w:lang w:val="en-US"/>
        </w:rPr>
        <w:t>s Hall, Dublin 8 but the person will be expected to work across the four Task Force areas, access to own transport would be desirable.</w:t>
      </w:r>
    </w:p>
    <w:p>
      <w:pPr>
        <w:pStyle w:val="Body"/>
        <w:spacing w:before="31"/>
        <w:ind w:left="100" w:firstLine="0"/>
        <w:rPr>
          <w:rFonts w:ascii="Calibri" w:cs="Calibri" w:hAnsi="Calibri" w:eastAsia="Calibri"/>
          <w:sz w:val="24"/>
          <w:szCs w:val="24"/>
        </w:rPr>
      </w:pPr>
    </w:p>
    <w:p>
      <w:pPr>
        <w:pStyle w:val="Body"/>
        <w:spacing w:line="200" w:lineRule="exact"/>
        <w:rPr>
          <w:sz w:val="24"/>
          <w:szCs w:val="24"/>
        </w:rPr>
      </w:pPr>
    </w:p>
    <w:tbl>
      <w:tblPr>
        <w:tblW w:w="10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89"/>
        <w:gridCol w:w="5911"/>
      </w:tblGrid>
      <w:tr>
        <w:tblPrEx>
          <w:shd w:val="clear" w:color="auto" w:fill="ced7e7"/>
        </w:tblPrEx>
        <w:trPr>
          <w:trHeight w:val="623" w:hRule="atLeast"/>
        </w:trPr>
        <w:tc>
          <w:tcPr>
            <w:tcW w:type="dxa" w:w="4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pPr>
            <w:r>
              <w:rPr>
                <w:rFonts w:ascii="Calibri" w:cs="Calibri" w:hAnsi="Calibri" w:eastAsia="Calibri"/>
                <w:b w:val="1"/>
                <w:bCs w:val="1"/>
                <w:sz w:val="24"/>
                <w:szCs w:val="24"/>
                <w:rtl w:val="0"/>
                <w:lang w:val="en-US"/>
              </w:rPr>
              <w:t xml:space="preserve">Send a current CV and Covering Letter to: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Pr>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rPr>
                <w:rFonts w:ascii="Calibri" w:cs="Calibri" w:hAnsi="Calibri" w:eastAsia="Calibri"/>
                <w:sz w:val="24"/>
                <w:szCs w:val="24"/>
                <w:lang w:val="en-US"/>
              </w:rPr>
            </w:pPr>
          </w:p>
          <w:p>
            <w:pPr>
              <w:pStyle w:val="Body"/>
              <w:bidi w:val="0"/>
              <w:spacing w:line="200" w:lineRule="exact"/>
              <w:ind w:left="0" w:right="0" w:firstLine="0"/>
              <w:jc w:val="left"/>
              <w:rPr>
                <w:rtl w:val="0"/>
              </w:rPr>
            </w:pPr>
            <w:r>
              <w:rPr>
                <w:rFonts w:ascii="Calibri" w:cs="Calibri" w:hAnsi="Calibri" w:eastAsia="Calibri"/>
                <w:sz w:val="24"/>
                <w:szCs w:val="24"/>
                <w:rtl w:val="0"/>
                <w:lang w:val="en-US"/>
              </w:rPr>
              <w:t>recruitment@communityresponse.ie</w:t>
            </w:r>
          </w:p>
        </w:tc>
      </w:tr>
      <w:tr>
        <w:tblPrEx>
          <w:shd w:val="clear" w:color="auto" w:fill="ced7e7"/>
        </w:tblPrEx>
        <w:trPr>
          <w:trHeight w:val="423" w:hRule="atLeast"/>
        </w:trPr>
        <w:tc>
          <w:tcPr>
            <w:tcW w:type="dxa" w:w="4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pPr>
            <w:r>
              <w:rPr>
                <w:rFonts w:ascii="Calibri" w:cs="Calibri" w:hAnsi="Calibri" w:eastAsia="Calibri"/>
                <w:b w:val="1"/>
                <w:bCs w:val="1"/>
                <w:sz w:val="24"/>
                <w:szCs w:val="24"/>
                <w:rtl w:val="0"/>
                <w:lang w:val="en-US"/>
              </w:rPr>
              <w:t>Closing Date:</w:t>
            </w:r>
            <w:r>
              <w:rPr>
                <w:rFonts w:ascii="Calibri" w:cs="Calibri" w:hAnsi="Calibri" w:eastAsia="Calibri"/>
                <w:b w:val="1"/>
                <w:bCs w:val="1"/>
                <w:sz w:val="24"/>
                <w:szCs w:val="24"/>
              </w:rPr>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rPr>
                <w:rFonts w:ascii="Calibri" w:cs="Calibri" w:hAnsi="Calibri" w:eastAsia="Calibri"/>
                <w:sz w:val="24"/>
                <w:szCs w:val="24"/>
                <w:lang w:val="en-US"/>
              </w:rPr>
            </w:pPr>
          </w:p>
          <w:p>
            <w:pPr>
              <w:pStyle w:val="Body"/>
              <w:bidi w:val="0"/>
              <w:spacing w:line="200" w:lineRule="exact"/>
              <w:ind w:left="0" w:right="0" w:firstLine="0"/>
              <w:jc w:val="left"/>
              <w:rPr>
                <w:rtl w:val="0"/>
              </w:rPr>
            </w:pPr>
            <w:r>
              <w:rPr>
                <w:rFonts w:ascii="Calibri" w:cs="Calibri" w:hAnsi="Calibri" w:eastAsia="Calibri"/>
                <w:sz w:val="24"/>
                <w:szCs w:val="24"/>
                <w:rtl w:val="0"/>
                <w:lang w:val="en-US"/>
              </w:rPr>
              <w:t>17</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May @ 5.00pm </w:t>
            </w:r>
          </w:p>
        </w:tc>
      </w:tr>
      <w:tr>
        <w:tblPrEx>
          <w:shd w:val="clear" w:color="auto" w:fill="ced7e7"/>
        </w:tblPrEx>
        <w:trPr>
          <w:trHeight w:val="623" w:hRule="atLeast"/>
        </w:trPr>
        <w:tc>
          <w:tcPr>
            <w:tcW w:type="dxa" w:w="4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pPr>
            <w:r>
              <w:rPr>
                <w:rFonts w:ascii="Calibri" w:cs="Calibri" w:hAnsi="Calibri" w:eastAsia="Calibri"/>
                <w:b w:val="1"/>
                <w:bCs w:val="1"/>
                <w:sz w:val="24"/>
                <w:szCs w:val="24"/>
                <w:rtl w:val="0"/>
                <w:lang w:val="en-US"/>
              </w:rPr>
              <w:t xml:space="preserve">Informal Enquiries to </w:t>
            </w:r>
            <w:r>
              <w:rPr>
                <w:rFonts w:ascii="Calibri" w:cs="Calibri" w:hAnsi="Calibri" w:eastAsia="Calibri"/>
                <w:b w:val="1"/>
                <w:bCs w:val="1"/>
                <w:sz w:val="24"/>
                <w:szCs w:val="24"/>
              </w:rPr>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0" w:lineRule="exact"/>
              <w:rPr>
                <w:rFonts w:ascii="Calibri" w:cs="Calibri" w:hAnsi="Calibri" w:eastAsia="Calibri"/>
                <w:sz w:val="24"/>
                <w:szCs w:val="24"/>
                <w:lang w:val="en-US"/>
              </w:rPr>
            </w:pPr>
          </w:p>
          <w:p>
            <w:pPr>
              <w:pStyle w:val="Body"/>
              <w:bidi w:val="0"/>
              <w:spacing w:line="200" w:lineRule="exact"/>
              <w:ind w:left="0" w:right="0" w:firstLine="0"/>
              <w:jc w:val="left"/>
              <w:rPr>
                <w:rtl w:val="0"/>
              </w:rPr>
            </w:pPr>
            <w:r>
              <w:rPr>
                <w:rFonts w:ascii="Calibri" w:cs="Calibri" w:hAnsi="Calibri" w:eastAsia="Calibri"/>
                <w:sz w:val="24"/>
                <w:szCs w:val="24"/>
                <w:rtl w:val="0"/>
                <w:lang w:val="en-US"/>
              </w:rPr>
              <w:t xml:space="preserve">Nicola Perry @ 01 </w:t>
            </w:r>
            <w:r>
              <w:rPr>
                <w:rFonts w:ascii="Calibri" w:cs="Calibri" w:hAnsi="Calibri" w:eastAsia="Calibri"/>
                <w:sz w:val="24"/>
                <w:szCs w:val="24"/>
                <w:rtl w:val="0"/>
                <w:lang w:val="en-US"/>
              </w:rPr>
              <w:t xml:space="preserve"> 454 9772 or email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"mailto:nicola@communityresponse.ie"</w:instrText>
            </w:r>
            <w:r>
              <w:rPr>
                <w:rStyle w:val="Hyperlink.0"/>
                <w:rFonts w:ascii="Calibri" w:cs="Calibri" w:hAnsi="Calibri" w:eastAsia="Calibri"/>
                <w:sz w:val="24"/>
                <w:szCs w:val="24"/>
              </w:rPr>
              <w:fldChar w:fldCharType="separate" w:fldLock="0"/>
            </w:r>
            <w:r>
              <w:rPr>
                <w:rStyle w:val="Hyperlink.0"/>
                <w:rFonts w:ascii="Calibri" w:cs="Calibri" w:hAnsi="Calibri" w:eastAsia="Calibri"/>
                <w:sz w:val="24"/>
                <w:szCs w:val="24"/>
                <w:rtl w:val="0"/>
                <w:lang w:val="en-US"/>
              </w:rPr>
              <w:t>nicola@communityresponse.ie</w:t>
            </w:r>
            <w:r>
              <w:rPr>
                <w:rFonts w:ascii="Calibri" w:cs="Calibri" w:hAnsi="Calibri" w:eastAsia="Calibri"/>
                <w:sz w:val="24"/>
                <w:szCs w:val="24"/>
              </w:rPr>
              <w:fldChar w:fldCharType="end" w:fldLock="0"/>
            </w:r>
          </w:p>
        </w:tc>
      </w:tr>
    </w:tbl>
    <w:p>
      <w:pPr>
        <w:pStyle w:val="Body"/>
        <w:widowControl w:val="0"/>
        <w:rPr>
          <w:sz w:val="24"/>
          <w:szCs w:val="24"/>
        </w:rPr>
      </w:pPr>
    </w:p>
    <w:p>
      <w:pPr>
        <w:pStyle w:val="Body"/>
        <w:spacing w:line="200" w:lineRule="exact"/>
        <w:rPr>
          <w:sz w:val="24"/>
          <w:szCs w:val="24"/>
        </w:rPr>
      </w:pPr>
    </w:p>
    <w:p>
      <w:pPr>
        <w:pStyle w:val="Body"/>
        <w:spacing w:line="200" w:lineRule="exact"/>
        <w:rPr>
          <w:sz w:val="24"/>
          <w:szCs w:val="24"/>
        </w:rPr>
      </w:pPr>
    </w:p>
    <w:p>
      <w:pPr>
        <w:pStyle w:val="Body"/>
        <w:spacing w:line="200" w:lineRule="exact"/>
        <w:rPr>
          <w:sz w:val="24"/>
          <w:szCs w:val="24"/>
        </w:rPr>
      </w:pPr>
    </w:p>
    <w:p>
      <w:pPr>
        <w:pStyle w:val="Body"/>
        <w:spacing w:line="200" w:lineRule="exact"/>
        <w:rPr>
          <w:rFonts w:ascii="Calibri" w:cs="Calibri" w:hAnsi="Calibri" w:eastAsia="Calibri"/>
          <w:b w:val="1"/>
          <w:bCs w:val="1"/>
          <w:sz w:val="24"/>
          <w:szCs w:val="24"/>
        </w:rPr>
      </w:pPr>
    </w:p>
    <w:p>
      <w:pPr>
        <w:pStyle w:val="Body"/>
        <w:spacing w:line="200" w:lineRule="exact"/>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Only Shortlisted Candidates will be contacted for Interview</w:t>
      </w:r>
    </w:p>
    <w:p>
      <w:pPr>
        <w:pStyle w:val="Body"/>
        <w:spacing w:line="200" w:lineRule="exact"/>
        <w:jc w:val="center"/>
        <w:rPr>
          <w:rFonts w:ascii="Calibri" w:cs="Calibri" w:hAnsi="Calibri" w:eastAsia="Calibri"/>
          <w:b w:val="1"/>
          <w:bCs w:val="1"/>
          <w:sz w:val="24"/>
          <w:szCs w:val="24"/>
        </w:rPr>
      </w:pPr>
    </w:p>
    <w:p>
      <w:pPr>
        <w:pStyle w:val="Body"/>
        <w:spacing w:line="200" w:lineRule="exact"/>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Community Response is an Equal Opportunities Employer</w:t>
      </w:r>
    </w:p>
    <w:p>
      <w:pPr>
        <w:pStyle w:val="Body"/>
        <w:spacing w:line="200" w:lineRule="exact"/>
        <w:rPr>
          <w:sz w:val="24"/>
          <w:szCs w:val="24"/>
        </w:rPr>
      </w:pPr>
    </w:p>
    <w:p>
      <w:pPr>
        <w:pStyle w:val="Body"/>
        <w:spacing w:line="200" w:lineRule="exact"/>
        <w:rPr>
          <w:sz w:val="24"/>
          <w:szCs w:val="24"/>
        </w:rPr>
      </w:pPr>
    </w:p>
    <w:p>
      <w:pPr>
        <w:pStyle w:val="Body"/>
        <w:spacing w:before="34"/>
        <w:ind w:left="100" w:firstLine="0"/>
        <w:rPr>
          <w:rFonts w:ascii="Arial" w:cs="Arial" w:hAnsi="Arial" w:eastAsia="Arial"/>
          <w:i w:val="1"/>
          <w:iCs w:val="1"/>
          <w:sz w:val="24"/>
          <w:szCs w:val="24"/>
        </w:rPr>
      </w:pPr>
    </w:p>
    <w:p>
      <w:pPr>
        <w:pStyle w:val="Body"/>
        <w:spacing w:before="34"/>
        <w:ind w:left="100" w:firstLine="0"/>
        <w:rPr>
          <w:rFonts w:ascii="Arial" w:cs="Arial" w:hAnsi="Arial" w:eastAsia="Arial"/>
          <w:sz w:val="24"/>
          <w:szCs w:val="24"/>
        </w:rPr>
      </w:pPr>
      <w:r>
        <w:rPr>
          <w:rFonts w:ascii="Arial" w:hAnsi="Arial"/>
          <w:i w:val="1"/>
          <w:iCs w:val="1"/>
          <w:sz w:val="24"/>
          <w:szCs w:val="24"/>
          <w:rtl w:val="0"/>
          <w:lang w:val="en-US"/>
        </w:rPr>
        <w:t>Funded through and supported by</w:t>
      </w:r>
    </w:p>
    <w:p>
      <w:pPr>
        <w:pStyle w:val="Body"/>
        <w:spacing w:before="3" w:line="100" w:lineRule="exact"/>
        <w:rPr>
          <w:sz w:val="24"/>
          <w:szCs w:val="24"/>
        </w:rPr>
      </w:pPr>
    </w:p>
    <w:p>
      <w:pPr>
        <w:pStyle w:val="Body"/>
        <w:spacing w:line="200" w:lineRule="exact"/>
        <w:rPr>
          <w:sz w:val="24"/>
          <w:szCs w:val="24"/>
        </w:rPr>
      </w:pPr>
    </w:p>
    <w:p>
      <w:pPr>
        <w:pStyle w:val="Body"/>
        <w:spacing w:line="200" w:lineRule="exact"/>
        <w:rPr>
          <w:sz w:val="24"/>
          <w:szCs w:val="24"/>
        </w:rPr>
      </w:pPr>
    </w:p>
    <w:p>
      <w:pPr>
        <w:pStyle w:val="Body"/>
        <w:ind w:left="249" w:firstLine="0"/>
      </w:pPr>
      <w:r>
        <w:rPr>
          <w:sz w:val="24"/>
          <w:szCs w:val="24"/>
        </w:rPr>
        <w:drawing>
          <wp:anchor distT="0" distB="0" distL="0" distR="0" simplePos="0" relativeHeight="251656192" behindDoc="1" locked="0" layoutInCell="1" allowOverlap="1">
            <wp:simplePos x="0" y="0"/>
            <wp:positionH relativeFrom="page">
              <wp:posOffset>1491614</wp:posOffset>
            </wp:positionH>
            <wp:positionV relativeFrom="line">
              <wp:posOffset>0</wp:posOffset>
            </wp:positionV>
            <wp:extent cx="838200" cy="5905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8">
                      <a:extLst/>
                    </a:blip>
                    <a:stretch>
                      <a:fillRect/>
                    </a:stretch>
                  </pic:blipFill>
                  <pic:spPr>
                    <a:xfrm>
                      <a:off x="0" y="0"/>
                      <a:ext cx="838200" cy="590550"/>
                    </a:xfrm>
                    <a:prstGeom prst="rect">
                      <a:avLst/>
                    </a:prstGeom>
                    <a:ln w="12700" cap="flat">
                      <a:noFill/>
                      <a:miter lim="400000"/>
                    </a:ln>
                    <a:effectLst/>
                  </pic:spPr>
                </pic:pic>
              </a:graphicData>
            </a:graphic>
          </wp:anchor>
        </w:drawing>
      </w:r>
      <w:r>
        <w:rPr>
          <w:sz w:val="24"/>
          <w:szCs w:val="24"/>
        </w:rPr>
        <mc:AlternateContent>
          <mc:Choice Requires="wpg">
            <w:drawing>
              <wp:anchor distT="0" distB="0" distL="0" distR="0" simplePos="0" relativeHeight="251657216" behindDoc="1" locked="0" layoutInCell="1" allowOverlap="1">
                <wp:simplePos x="0" y="0"/>
                <wp:positionH relativeFrom="page">
                  <wp:posOffset>2392679</wp:posOffset>
                </wp:positionH>
                <wp:positionV relativeFrom="line">
                  <wp:posOffset>-171450</wp:posOffset>
                </wp:positionV>
                <wp:extent cx="3517901" cy="762001"/>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3517901" cy="762001"/>
                          <a:chOff x="0" y="0"/>
                          <a:chExt cx="3517900" cy="762000"/>
                        </a:xfrm>
                      </wpg:grpSpPr>
                      <pic:pic xmlns:pic="http://schemas.openxmlformats.org/drawingml/2006/picture">
                        <pic:nvPicPr>
                          <pic:cNvPr id="1073741829" name="image4.jpeg"/>
                          <pic:cNvPicPr>
                            <a:picLocks noChangeAspect="1"/>
                          </pic:cNvPicPr>
                        </pic:nvPicPr>
                        <pic:blipFill>
                          <a:blip r:embed="rId9">
                            <a:extLst/>
                          </a:blip>
                          <a:stretch>
                            <a:fillRect/>
                          </a:stretch>
                        </pic:blipFill>
                        <pic:spPr>
                          <a:xfrm>
                            <a:off x="-1" y="-1"/>
                            <a:ext cx="704851" cy="752476"/>
                          </a:xfrm>
                          <a:prstGeom prst="rect">
                            <a:avLst/>
                          </a:prstGeom>
                          <a:ln w="12700" cap="flat">
                            <a:noFill/>
                            <a:miter lim="400000"/>
                          </a:ln>
                          <a:effectLst/>
                        </pic:spPr>
                      </pic:pic>
                      <pic:pic xmlns:pic="http://schemas.openxmlformats.org/drawingml/2006/picture">
                        <pic:nvPicPr>
                          <pic:cNvPr id="1073741830" name="image5.jpeg"/>
                          <pic:cNvPicPr>
                            <a:picLocks noChangeAspect="1"/>
                          </pic:cNvPicPr>
                        </pic:nvPicPr>
                        <pic:blipFill>
                          <a:blip r:embed="rId10">
                            <a:extLst/>
                          </a:blip>
                          <a:stretch>
                            <a:fillRect/>
                          </a:stretch>
                        </pic:blipFill>
                        <pic:spPr>
                          <a:xfrm>
                            <a:off x="736599" y="495300"/>
                            <a:ext cx="1095376" cy="266701"/>
                          </a:xfrm>
                          <a:prstGeom prst="rect">
                            <a:avLst/>
                          </a:prstGeom>
                          <a:ln w="12700" cap="flat">
                            <a:noFill/>
                            <a:miter lim="400000"/>
                          </a:ln>
                          <a:effectLst/>
                        </pic:spPr>
                      </pic:pic>
                      <pic:pic xmlns:pic="http://schemas.openxmlformats.org/drawingml/2006/picture">
                        <pic:nvPicPr>
                          <pic:cNvPr id="1073741831" name="image6.jpeg"/>
                          <pic:cNvPicPr>
                            <a:picLocks noChangeAspect="1"/>
                          </pic:cNvPicPr>
                        </pic:nvPicPr>
                        <pic:blipFill>
                          <a:blip r:embed="rId11">
                            <a:extLst/>
                          </a:blip>
                          <a:stretch>
                            <a:fillRect/>
                          </a:stretch>
                        </pic:blipFill>
                        <pic:spPr>
                          <a:xfrm>
                            <a:off x="1841500" y="171450"/>
                            <a:ext cx="828676" cy="590551"/>
                          </a:xfrm>
                          <a:prstGeom prst="rect">
                            <a:avLst/>
                          </a:prstGeom>
                          <a:ln w="12700" cap="flat">
                            <a:noFill/>
                            <a:miter lim="400000"/>
                          </a:ln>
                          <a:effectLst/>
                        </pic:spPr>
                      </pic:pic>
                      <pic:pic xmlns:pic="http://schemas.openxmlformats.org/drawingml/2006/picture">
                        <pic:nvPicPr>
                          <pic:cNvPr id="1073741832" name="image7.jpeg"/>
                          <pic:cNvPicPr>
                            <a:picLocks noChangeAspect="1"/>
                          </pic:cNvPicPr>
                        </pic:nvPicPr>
                        <pic:blipFill>
                          <a:blip r:embed="rId12">
                            <a:extLst/>
                          </a:blip>
                          <a:stretch>
                            <a:fillRect/>
                          </a:stretch>
                        </pic:blipFill>
                        <pic:spPr>
                          <a:xfrm>
                            <a:off x="2679700" y="342900"/>
                            <a:ext cx="838201" cy="419101"/>
                          </a:xfrm>
                          <a:prstGeom prst="rect">
                            <a:avLst/>
                          </a:prstGeom>
                          <a:ln w="12700" cap="flat">
                            <a:noFill/>
                            <a:miter lim="400000"/>
                          </a:ln>
                          <a:effectLst/>
                        </pic:spPr>
                      </pic:pic>
                    </wpg:wgp>
                  </a:graphicData>
                </a:graphic>
              </wp:anchor>
            </w:drawing>
          </mc:Choice>
          <mc:Fallback>
            <w:pict>
              <v:group id="_x0000_s1027" style="visibility:visible;position:absolute;margin-left:188.4pt;margin-top:-13.5pt;width:277.0pt;height:60.0pt;z-index:-251659264;mso-position-horizontal:absolute;mso-position-horizontal-relative:page;mso-position-vertical:absolute;mso-position-vertical-relative:line;mso-wrap-distance-left:0.0pt;mso-wrap-distance-top:0.0pt;mso-wrap-distance-right:0.0pt;mso-wrap-distance-bottom:0.0pt;" coordorigin="0,0" coordsize="3517900,762000">
                <w10:wrap type="none" side="bothSides" anchorx="page"/>
                <v:shape id="_x0000_s1028" type="#_x0000_t75" style="position:absolute;left:0;top:0;width:704850;height:752475;">
                  <v:imagedata r:id="rId9" o:title="image4.jpeg"/>
                </v:shape>
                <v:shape id="_x0000_s1029" type="#_x0000_t75" style="position:absolute;left:736600;top:495300;width:1095375;height:266700;">
                  <v:imagedata r:id="rId10" o:title="image5.jpeg"/>
                </v:shape>
                <v:shape id="_x0000_s1030" type="#_x0000_t75" style="position:absolute;left:1841500;top:171450;width:828675;height:590550;">
                  <v:imagedata r:id="rId11" o:title="image6.jpeg"/>
                </v:shape>
                <v:shape id="_x0000_s1031" type="#_x0000_t75" style="position:absolute;left:2679700;top:342900;width:838200;height:419100;">
                  <v:imagedata r:id="rId12" o:title="image7.jpeg"/>
                </v:shape>
              </v:group>
            </w:pict>
          </mc:Fallback>
        </mc:AlternateContent>
      </w:r>
      <w:r>
        <w:rPr>
          <w:sz w:val="24"/>
          <w:szCs w:val="24"/>
        </w:rPr>
        <w:drawing>
          <wp:inline distT="0" distB="0" distL="0" distR="0">
            <wp:extent cx="868681" cy="58674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8.png"/>
                    <pic:cNvPicPr>
                      <a:picLocks noChangeAspect="1"/>
                    </pic:cNvPicPr>
                  </pic:nvPicPr>
                  <pic:blipFill>
                    <a:blip r:embed="rId13">
                      <a:extLst/>
                    </a:blip>
                    <a:stretch>
                      <a:fillRect/>
                    </a:stretch>
                  </pic:blipFill>
                  <pic:spPr>
                    <a:xfrm>
                      <a:off x="0" y="0"/>
                      <a:ext cx="868681" cy="586741"/>
                    </a:xfrm>
                    <a:prstGeom prst="rect">
                      <a:avLst/>
                    </a:prstGeom>
                    <a:ln w="12700" cap="flat">
                      <a:noFill/>
                      <a:miter lim="400000"/>
                    </a:ln>
                    <a:effectLst/>
                  </pic:spPr>
                </pic:pic>
              </a:graphicData>
            </a:graphic>
          </wp:inline>
        </w:drawing>
      </w:r>
    </w:p>
    <w:sectPr>
      <w:headerReference w:type="default" r:id="rId14"/>
      <w:pgSz w:w="12240" w:h="15840" w:orient="portrait"/>
      <w:pgMar w:top="1100" w:right="720" w:bottom="280" w:left="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